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4B12" w:rsidRDefault="0021430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2B4B12" w:rsidRDefault="002B4B12">
      <w:pPr>
        <w:pBdr>
          <w:top w:val="nil"/>
          <w:left w:val="nil"/>
          <w:bottom w:val="nil"/>
          <w:right w:val="nil"/>
          <w:between w:val="nil"/>
        </w:pBdr>
        <w:spacing w:after="0" w:line="240" w:lineRule="auto"/>
        <w:rPr>
          <w:rFonts w:ascii="Arial" w:eastAsia="Arial" w:hAnsi="Arial" w:cs="Arial"/>
          <w:color w:val="000000"/>
          <w:sz w:val="24"/>
          <w:szCs w:val="24"/>
        </w:rPr>
      </w:pPr>
    </w:p>
    <w:p w:rsidR="002B4B12" w:rsidRDefault="00214303">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w:t>
      </w:r>
    </w:p>
    <w:p w:rsidR="002B4B12" w:rsidRDefault="00214303">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sz w:val="24"/>
          <w:szCs w:val="24"/>
        </w:rPr>
        <w:t>[Buyer Guidance: Buyers should consider including Call Off Schedule 9 (Security) to ensure their Call-Off Contract contains adequate security measures in order to protect Personal Data in compliance with Annex B of the GDPR PPN 03/22]</w:t>
      </w:r>
    </w:p>
    <w:p w:rsidR="002B4B12" w:rsidRDefault="002B4B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2B4B12" w:rsidRDefault="0021430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2B4B12">
        <w:tc>
          <w:tcPr>
            <w:tcW w:w="2263" w:type="dxa"/>
          </w:tcPr>
          <w:p w:rsidR="002B4B12" w:rsidRDefault="0021430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“EU GDPR”</w:t>
            </w:r>
          </w:p>
        </w:tc>
        <w:tc>
          <w:tcPr>
            <w:tcW w:w="6753" w:type="dxa"/>
          </w:tcPr>
          <w:p w:rsidR="002B4B12" w:rsidRDefault="00214303">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the General Data Protection Regulation ((EU) 2016/679);</w:t>
            </w:r>
          </w:p>
        </w:tc>
      </w:tr>
      <w:tr w:rsidR="002B4B12">
        <w:tc>
          <w:tcPr>
            <w:tcW w:w="2263" w:type="dxa"/>
          </w:tcPr>
          <w:p w:rsidR="002B4B12" w:rsidRDefault="0021430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“Joint Control”</w:t>
            </w:r>
          </w:p>
        </w:tc>
        <w:tc>
          <w:tcPr>
            <w:tcW w:w="6753" w:type="dxa"/>
          </w:tcPr>
          <w:p w:rsidR="002B4B12" w:rsidRDefault="00214303">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where two or more Controllers jointly determine the purposes and means of Processing;</w:t>
            </w:r>
          </w:p>
        </w:tc>
      </w:tr>
      <w:tr w:rsidR="002B4B12">
        <w:tc>
          <w:tcPr>
            <w:tcW w:w="2263" w:type="dxa"/>
          </w:tcPr>
          <w:p w:rsidR="002B4B12" w:rsidRDefault="0021430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2B4B12" w:rsidRDefault="0021430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sidR="001C6659">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2B4B12" w:rsidRDefault="0021430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2B4B12" w:rsidRDefault="00214303">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2B4B12" w:rsidRDefault="0021430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_heading=h.30j0zll" w:colFirst="0" w:colLast="0"/>
      <w:bookmarkEnd w:id="0"/>
      <w:r>
        <w:rPr>
          <w:rFonts w:ascii="Arial" w:eastAsia="Arial" w:hAnsi="Arial" w:cs="Arial"/>
          <w:sz w:val="24"/>
          <w:szCs w:val="24"/>
        </w:rPr>
        <w:t xml:space="preserve">Where a Party is a Processor, the only Processing that it is authorised to do is listed in Annex 1 of this Joint Schedule 11 </w:t>
      </w:r>
      <w:r>
        <w:rPr>
          <w:rFonts w:ascii="Arial" w:eastAsia="Arial" w:hAnsi="Arial" w:cs="Arial"/>
          <w:i/>
          <w:sz w:val="24"/>
          <w:szCs w:val="24"/>
        </w:rPr>
        <w:t>(Processing Personal Data</w:t>
      </w:r>
      <w:r>
        <w:rPr>
          <w:rFonts w:ascii="Arial" w:eastAsia="Arial" w:hAnsi="Arial" w:cs="Arial"/>
          <w:sz w:val="24"/>
          <w:szCs w:val="24"/>
        </w:rPr>
        <w:t>) by the Controller or further provided in writing by the Controller and may not be determined by the Processor.</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notify the Controller immediately if it considers that any of the Controller’s instructions infringe the Data Protection Legislation.</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this Joint Schedule 11 Annex 1 </w:t>
      </w:r>
      <w:r>
        <w:rPr>
          <w:rFonts w:ascii="Arial" w:eastAsia="Arial" w:hAnsi="Arial" w:cs="Arial"/>
          <w:i/>
          <w:sz w:val="24"/>
          <w:szCs w:val="24"/>
        </w:rPr>
        <w:t>(Processing Personal Data</w:t>
      </w:r>
      <w:r>
        <w:rPr>
          <w:rFonts w:ascii="Arial" w:eastAsia="Arial" w:hAnsi="Arial" w:cs="Arial"/>
          <w:sz w:val="24"/>
          <w:szCs w:val="24"/>
        </w:rPr>
        <w:t>) or as further provided in writing by the Controller, unless the Processor is required to do otherwise by Law. If it is so required the Processor shall promptly notify the Controller before Processing the Personal Data unless prohibited by Law;</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which are appropriate to protect against Personal Data Breach,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state of technological development; </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2B4B12" w:rsidRDefault="00214303">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and which shall be maintained in accordance with Data Protection Legislation and Good Industry Practice;</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this Joint Schedule 11 Annex 1</w:t>
      </w:r>
      <w:r>
        <w:rPr>
          <w:rFonts w:ascii="Arial" w:eastAsia="Arial" w:hAnsi="Arial" w:cs="Arial"/>
          <w:i/>
          <w:sz w:val="24"/>
          <w:szCs w:val="24"/>
        </w:rPr>
        <w:t xml:space="preserve"> (Processing Personal Data</w:t>
      </w:r>
      <w:r>
        <w:rPr>
          <w:rFonts w:ascii="Arial" w:eastAsia="Arial" w:hAnsi="Arial" w:cs="Arial"/>
          <w:sz w:val="24"/>
          <w:szCs w:val="24"/>
        </w:rPr>
        <w:t>)) and the Controller’s further written instructions;</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w:t>
      </w:r>
      <w:proofErr w:type="gramStart"/>
      <w:r>
        <w:rPr>
          <w:rFonts w:ascii="Arial" w:eastAsia="Arial" w:hAnsi="Arial" w:cs="Arial"/>
          <w:sz w:val="24"/>
          <w:szCs w:val="24"/>
        </w:rPr>
        <w:t>uses  all</w:t>
      </w:r>
      <w:proofErr w:type="gramEnd"/>
      <w:r>
        <w:rPr>
          <w:rFonts w:ascii="Arial" w:eastAsia="Arial" w:hAnsi="Arial" w:cs="Arial"/>
          <w:sz w:val="24"/>
          <w:szCs w:val="24"/>
        </w:rPr>
        <w:t xml:space="preserve"> reasonable endeavours  to ensure the reliability and integrity of any Processor Personnel who have access to the Personal Data and ensure that they:</w:t>
      </w:r>
    </w:p>
    <w:p w:rsidR="002B4B12" w:rsidRDefault="00214303">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2B4B12" w:rsidRDefault="00214303">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2B4B12" w:rsidRDefault="00214303">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2B4B12" w:rsidRDefault="00214303">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 xml:space="preserve">not transfer Personal Data outside of the </w:t>
      </w:r>
      <w:proofErr w:type="gramStart"/>
      <w:r>
        <w:rPr>
          <w:rFonts w:ascii="Arial" w:eastAsia="Arial" w:hAnsi="Arial" w:cs="Arial"/>
          <w:sz w:val="24"/>
          <w:szCs w:val="24"/>
        </w:rPr>
        <w:t>UK  unless</w:t>
      </w:r>
      <w:proofErr w:type="gramEnd"/>
      <w:r>
        <w:rPr>
          <w:rFonts w:ascii="Arial" w:eastAsia="Arial" w:hAnsi="Arial" w:cs="Arial"/>
          <w:sz w:val="24"/>
          <w:szCs w:val="24"/>
        </w:rPr>
        <w:t xml:space="preserve"> the prior written consent of the Controller has been obtained and the following conditions are fulfilled:</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the destination country has been recognised as adequate by the UK government in accordance with Article 45 of the UK GDPR (or section 74 of the DPA 2018); or</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or International Data Transfer Agreement Addendum to the 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under section 119A(1) of the DPA 2018, as well as any additional measures determined by the Controller;</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 xml:space="preserve">the Processor complies with its obligations </w:t>
      </w:r>
      <w:proofErr w:type="gramStart"/>
      <w:r>
        <w:rPr>
          <w:rFonts w:ascii="Arial" w:eastAsia="Arial" w:hAnsi="Arial" w:cs="Arial"/>
          <w:sz w:val="24"/>
          <w:szCs w:val="24"/>
        </w:rPr>
        <w:t>under  Data</w:t>
      </w:r>
      <w:proofErr w:type="gramEnd"/>
      <w:r>
        <w:rPr>
          <w:rFonts w:ascii="Arial" w:eastAsia="Arial" w:hAnsi="Arial" w:cs="Arial"/>
          <w:sz w:val="24"/>
          <w:szCs w:val="24"/>
        </w:rPr>
        <w:t xml:space="preserve"> Protection Legislation by providing an adequate level of protection to any Personal Data that is transferred (or, if it is not so bound, uses its best endeavours to assist the Controller in meeting its obligations); and</w:t>
      </w:r>
    </w:p>
    <w:p w:rsidR="002B4B12" w:rsidRDefault="00214303">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 xml:space="preserve">the Processor complies with any reasonable instructions notified to it in advance by the Controller with respect to the Processing of the Personal Data;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where the Personal Data is subject to EU GDPR, not transfer Personal Data outside of the EU unless the prior written consent of the Controller has been obtained and the following conditions are fulfilled:</w:t>
      </w:r>
    </w:p>
    <w:p w:rsidR="002B4B12" w:rsidRDefault="00214303">
      <w:pPr>
        <w:numPr>
          <w:ilvl w:val="3"/>
          <w:numId w:val="8"/>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rsidR="002B4B12" w:rsidRDefault="00214303">
      <w:pPr>
        <w:numPr>
          <w:ilvl w:val="3"/>
          <w:numId w:val="8"/>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has provided appropriate safeguards in relation to the transfer in accordance with Article 46 of the EU GDPR as determined by the Controller which could include relevant parties </w:t>
      </w:r>
      <w:r>
        <w:rPr>
          <w:rFonts w:ascii="Arial" w:eastAsia="Arial" w:hAnsi="Arial" w:cs="Arial"/>
          <w:sz w:val="24"/>
          <w:szCs w:val="24"/>
        </w:rPr>
        <w:lastRenderedPageBreak/>
        <w:t>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2B4B12" w:rsidRDefault="00214303">
      <w:pPr>
        <w:numPr>
          <w:ilvl w:val="3"/>
          <w:numId w:val="8"/>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2B4B12" w:rsidRDefault="00214303">
      <w:pPr>
        <w:numPr>
          <w:ilvl w:val="3"/>
          <w:numId w:val="8"/>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2B4B12" w:rsidRDefault="00214303">
      <w:pPr>
        <w:numPr>
          <w:ilvl w:val="3"/>
          <w:numId w:val="8"/>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any reasonable instructions notified to it in advance by the Controller with respect to the processing of the Personal Data; and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w:t>
      </w:r>
      <w:proofErr w:type="gramStart"/>
      <w:r>
        <w:rPr>
          <w:rFonts w:ascii="Arial" w:eastAsia="Arial" w:hAnsi="Arial" w:cs="Arial"/>
          <w:sz w:val="24"/>
          <w:szCs w:val="24"/>
        </w:rPr>
        <w:t>promptly  providing</w:t>
      </w:r>
      <w:proofErr w:type="gramEnd"/>
      <w:r>
        <w:rPr>
          <w:rFonts w:ascii="Arial" w:eastAsia="Arial" w:hAnsi="Arial" w:cs="Arial"/>
          <w:sz w:val="24"/>
          <w:szCs w:val="24"/>
        </w:rPr>
        <w:t>:</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the </w:t>
      </w:r>
      <w:proofErr w:type="gramStart"/>
      <w:r>
        <w:rPr>
          <w:rFonts w:ascii="Arial" w:eastAsia="Arial" w:hAnsi="Arial" w:cs="Arial"/>
          <w:sz w:val="24"/>
          <w:szCs w:val="24"/>
        </w:rPr>
        <w:t>Controller  to</w:t>
      </w:r>
      <w:proofErr w:type="gramEnd"/>
      <w:r>
        <w:rPr>
          <w:rFonts w:ascii="Arial" w:eastAsia="Arial" w:hAnsi="Arial" w:cs="Arial"/>
          <w:sz w:val="24"/>
          <w:szCs w:val="24"/>
        </w:rPr>
        <w:t xml:space="preserve"> comply with a Data Subject Access Request within the relevant timescales set out in the Data Protection Legislation;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2B4B12" w:rsidRDefault="00214303">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 xml:space="preserve">The Relevant Authority may, at any time on not less than thirty (30) Working Days’ notice, revise this Joint Schedule 11 by replacing it with any applicable </w:t>
      </w:r>
      <w:r>
        <w:rPr>
          <w:rFonts w:ascii="Arial" w:eastAsia="Arial" w:hAnsi="Arial" w:cs="Arial"/>
          <w:sz w:val="24"/>
          <w:szCs w:val="24"/>
        </w:rPr>
        <w:lastRenderedPageBreak/>
        <w:t>controller to processor standard clauses or similar terms forming part of an applicable certification scheme (which shall apply when incorporated by attachment to the Contract).</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2B4B12" w:rsidRDefault="0021430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2B4B12" w:rsidRDefault="0021430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(Processing Personal Data) above, the recipient of the Personal Data will provide all such relevant documents and information relating to its data protection policies and procedures as the other Party may reasonably require.</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of this Joint Schedule 11 </w:t>
      </w:r>
      <w:r>
        <w:rPr>
          <w:rFonts w:ascii="Arial" w:eastAsia="Arial" w:hAnsi="Arial" w:cs="Arial"/>
          <w:i/>
          <w:sz w:val="24"/>
          <w:szCs w:val="24"/>
        </w:rPr>
        <w:t>(Processing Personal Data).</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2B4B12" w:rsidRDefault="00214303">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2B4B12" w:rsidRDefault="00214303">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rsidR="002B4B12" w:rsidRDefault="00214303">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2B4B12" w:rsidRDefault="002B4B12">
      <w:pPr>
        <w:pBdr>
          <w:top w:val="nil"/>
          <w:left w:val="nil"/>
          <w:bottom w:val="nil"/>
          <w:right w:val="nil"/>
          <w:between w:val="nil"/>
        </w:pBdr>
        <w:spacing w:before="280" w:after="120"/>
        <w:ind w:left="709"/>
        <w:rPr>
          <w:rFonts w:ascii="Arial" w:eastAsia="Arial" w:hAnsi="Arial" w:cs="Arial"/>
          <w:sz w:val="24"/>
          <w:szCs w:val="24"/>
        </w:rPr>
      </w:pPr>
    </w:p>
    <w:p w:rsidR="002B4B12" w:rsidRDefault="00214303">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2B4B12" w:rsidRDefault="00214303">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r w:rsidR="003C4FCF">
        <w:rPr>
          <w:rFonts w:ascii="Arial" w:eastAsia="Arial" w:hAnsi="Arial" w:cs="Arial"/>
          <w:sz w:val="24"/>
          <w:szCs w:val="24"/>
        </w:rPr>
        <w:t>The Parties acknowledge that in accordance with paragraph 3 to paragraph 16 of this Joint Schedule 11 (Processing Personal Data).</w:t>
      </w:r>
    </w:p>
    <w:p w:rsidR="002B4B12" w:rsidRPr="003C4FCF" w:rsidRDefault="00214303">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2E0163">
        <w:rPr>
          <w:rFonts w:ascii="Arial" w:eastAsia="Arial" w:hAnsi="Arial" w:cs="Arial"/>
          <w:b/>
          <w:sz w:val="24"/>
          <w:szCs w:val="24"/>
        </w:rPr>
        <w:t>REDACTED</w:t>
      </w:r>
      <w:bookmarkStart w:id="16" w:name="_GoBack"/>
      <w:bookmarkEnd w:id="16"/>
    </w:p>
    <w:p w:rsidR="002B4B12" w:rsidRDefault="00214303">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2B4B12" w:rsidRDefault="00214303">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2B4B12" w:rsidRDefault="00214303">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2B4B12" w:rsidRDefault="002B4B12">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B4B12">
        <w:trPr>
          <w:trHeight w:val="700"/>
        </w:trPr>
        <w:tc>
          <w:tcPr>
            <w:tcW w:w="2263" w:type="dxa"/>
            <w:shd w:val="clear" w:color="auto" w:fill="BFBFBF"/>
            <w:vAlign w:val="center"/>
          </w:tcPr>
          <w:p w:rsidR="002B4B12" w:rsidRDefault="0021430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2B4B12" w:rsidRDefault="00214303">
            <w:pPr>
              <w:jc w:val="center"/>
              <w:rPr>
                <w:rFonts w:ascii="Arial" w:eastAsia="Arial" w:hAnsi="Arial" w:cs="Arial"/>
                <w:b/>
                <w:sz w:val="24"/>
                <w:szCs w:val="24"/>
              </w:rPr>
            </w:pPr>
            <w:r>
              <w:rPr>
                <w:rFonts w:ascii="Arial" w:eastAsia="Arial" w:hAnsi="Arial" w:cs="Arial"/>
                <w:b/>
                <w:sz w:val="24"/>
                <w:szCs w:val="24"/>
              </w:rPr>
              <w:t>Details</w:t>
            </w:r>
          </w:p>
        </w:tc>
      </w:tr>
      <w:tr w:rsidR="002B4B12">
        <w:trPr>
          <w:trHeight w:val="1620"/>
        </w:trPr>
        <w:tc>
          <w:tcPr>
            <w:tcW w:w="2263" w:type="dxa"/>
            <w:shd w:val="clear" w:color="auto" w:fill="auto"/>
          </w:tcPr>
          <w:p w:rsidR="002B4B12" w:rsidRDefault="00214303">
            <w:pPr>
              <w:rPr>
                <w:rFonts w:ascii="Arial" w:eastAsia="Arial" w:hAnsi="Arial" w:cs="Arial"/>
                <w:sz w:val="24"/>
                <w:szCs w:val="24"/>
              </w:rPr>
            </w:pPr>
            <w:r>
              <w:rPr>
                <w:rFonts w:ascii="Arial" w:eastAsia="Arial" w:hAnsi="Arial" w:cs="Arial"/>
                <w:sz w:val="24"/>
                <w:szCs w:val="24"/>
              </w:rPr>
              <w:t>Identity of Controller and Processor for each Category of Personal Data</w:t>
            </w:r>
          </w:p>
        </w:tc>
        <w:tc>
          <w:tcPr>
            <w:tcW w:w="7423" w:type="dxa"/>
            <w:shd w:val="clear" w:color="auto" w:fill="auto"/>
          </w:tcPr>
          <w:p w:rsidR="002B4B12" w:rsidRDefault="00214303">
            <w:pPr>
              <w:rPr>
                <w:rFonts w:ascii="Arial" w:eastAsia="Arial" w:hAnsi="Arial" w:cs="Arial"/>
                <w:b/>
                <w:sz w:val="24"/>
                <w:szCs w:val="24"/>
              </w:rPr>
            </w:pPr>
            <w:r>
              <w:rPr>
                <w:rFonts w:ascii="Arial" w:eastAsia="Arial" w:hAnsi="Arial" w:cs="Arial"/>
                <w:b/>
                <w:sz w:val="24"/>
                <w:szCs w:val="24"/>
              </w:rPr>
              <w:t xml:space="preserve">For the purposes of this Framework agreement, the Authority is the Controller and the Supplier is the Processor. </w:t>
            </w:r>
          </w:p>
          <w:p w:rsidR="002B4B12" w:rsidRDefault="002B4B12">
            <w:pPr>
              <w:rPr>
                <w:rFonts w:ascii="Arial" w:eastAsia="Arial" w:hAnsi="Arial" w:cs="Arial"/>
                <w:b/>
                <w:sz w:val="24"/>
                <w:szCs w:val="24"/>
              </w:rPr>
            </w:pPr>
          </w:p>
          <w:p w:rsidR="002B4B12" w:rsidRDefault="002B4B12">
            <w:pPr>
              <w:rPr>
                <w:rFonts w:ascii="Arial" w:eastAsia="Arial" w:hAnsi="Arial" w:cs="Arial"/>
                <w:b/>
                <w:sz w:val="24"/>
                <w:szCs w:val="24"/>
              </w:rPr>
            </w:pPr>
          </w:p>
          <w:p w:rsidR="002B4B12" w:rsidRDefault="00214303">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2B4B12" w:rsidRDefault="002B4B12">
            <w:pPr>
              <w:rPr>
                <w:rFonts w:ascii="Arial" w:eastAsia="Arial" w:hAnsi="Arial" w:cs="Arial"/>
                <w:sz w:val="24"/>
                <w:szCs w:val="24"/>
              </w:rPr>
            </w:pPr>
          </w:p>
          <w:p w:rsidR="002B4B12" w:rsidRDefault="00214303">
            <w:pPr>
              <w:rPr>
                <w:rFonts w:ascii="Arial" w:eastAsia="Arial" w:hAnsi="Arial" w:cs="Arial"/>
                <w:sz w:val="24"/>
                <w:szCs w:val="24"/>
              </w:rPr>
            </w:pPr>
            <w:r>
              <w:rPr>
                <w:rFonts w:ascii="Arial" w:eastAsia="Arial" w:hAnsi="Arial" w:cs="Arial"/>
                <w:i/>
                <w:sz w:val="24"/>
                <w:szCs w:val="24"/>
              </w:rPr>
              <w:t>The scope of Personal Data which the purposes and means of the Processing by the Supplier is determined by the Relevant Authority. This may include: Individuals’ names, job titles, email addresses, organisational name, work phone numbers.</w:t>
            </w:r>
          </w:p>
          <w:p w:rsidR="002B4B12" w:rsidRDefault="002B4B12">
            <w:pPr>
              <w:pBdr>
                <w:top w:val="nil"/>
                <w:left w:val="nil"/>
                <w:bottom w:val="nil"/>
                <w:right w:val="nil"/>
                <w:between w:val="nil"/>
              </w:pBdr>
              <w:jc w:val="both"/>
              <w:rPr>
                <w:rFonts w:ascii="Arial" w:eastAsia="Arial" w:hAnsi="Arial" w:cs="Arial"/>
                <w:i/>
                <w:sz w:val="24"/>
                <w:szCs w:val="24"/>
              </w:rPr>
            </w:pPr>
          </w:p>
          <w:p w:rsidR="002B4B12" w:rsidRDefault="002B4B12">
            <w:pPr>
              <w:pBdr>
                <w:top w:val="nil"/>
                <w:left w:val="nil"/>
                <w:bottom w:val="nil"/>
                <w:right w:val="nil"/>
                <w:between w:val="nil"/>
              </w:pBdr>
              <w:jc w:val="both"/>
              <w:rPr>
                <w:rFonts w:ascii="Arial" w:eastAsia="Arial" w:hAnsi="Arial" w:cs="Arial"/>
                <w:i/>
                <w:sz w:val="24"/>
                <w:szCs w:val="24"/>
              </w:rPr>
            </w:pPr>
          </w:p>
          <w:p w:rsidR="002B4B12" w:rsidRDefault="002B4B12">
            <w:pPr>
              <w:rPr>
                <w:rFonts w:ascii="Arial" w:eastAsia="Arial" w:hAnsi="Arial" w:cs="Arial"/>
                <w:i/>
                <w:sz w:val="24"/>
                <w:szCs w:val="24"/>
              </w:rPr>
            </w:pPr>
          </w:p>
          <w:p w:rsidR="002B4B12" w:rsidRDefault="00214303">
            <w:pPr>
              <w:rPr>
                <w:rFonts w:ascii="Arial" w:eastAsia="Arial" w:hAnsi="Arial" w:cs="Arial"/>
                <w:i/>
                <w:sz w:val="24"/>
                <w:szCs w:val="24"/>
              </w:rPr>
            </w:pPr>
            <w:r>
              <w:rPr>
                <w:rFonts w:ascii="Arial" w:eastAsia="Arial" w:hAnsi="Arial" w:cs="Arial"/>
                <w:i/>
                <w:sz w:val="24"/>
                <w:szCs w:val="24"/>
              </w:rPr>
              <w:t xml:space="preserve"> </w:t>
            </w:r>
          </w:p>
          <w:p w:rsidR="002B4B12" w:rsidRDefault="00214303">
            <w:pPr>
              <w:rPr>
                <w:rFonts w:ascii="Arial" w:eastAsia="Arial" w:hAnsi="Arial" w:cs="Arial"/>
                <w:b/>
                <w:sz w:val="24"/>
                <w:szCs w:val="24"/>
              </w:rPr>
            </w:pPr>
            <w:r>
              <w:rPr>
                <w:rFonts w:ascii="Arial" w:eastAsia="Arial" w:hAnsi="Arial" w:cs="Arial"/>
                <w:b/>
                <w:sz w:val="24"/>
                <w:szCs w:val="24"/>
              </w:rPr>
              <w:t>The Parties are Independent Controllers of Personal Data</w:t>
            </w:r>
          </w:p>
          <w:p w:rsidR="002B4B12" w:rsidRDefault="002B4B12">
            <w:pPr>
              <w:rPr>
                <w:rFonts w:ascii="Arial" w:eastAsia="Arial" w:hAnsi="Arial" w:cs="Arial"/>
                <w:b/>
                <w:i/>
                <w:sz w:val="24"/>
                <w:szCs w:val="24"/>
                <w:highlight w:val="yellow"/>
              </w:rPr>
            </w:pPr>
          </w:p>
          <w:p w:rsidR="002B4B12" w:rsidRDefault="00214303">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2B4B12" w:rsidRDefault="00214303">
            <w:pPr>
              <w:numPr>
                <w:ilvl w:val="0"/>
                <w:numId w:val="1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2B4B12" w:rsidRDefault="00214303">
            <w:pPr>
              <w:numPr>
                <w:ilvl w:val="0"/>
                <w:numId w:val="12"/>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rsidR="002B4B12" w:rsidRDefault="00214303">
            <w:pPr>
              <w:numPr>
                <w:ilvl w:val="0"/>
                <w:numId w:val="12"/>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w:t>
            </w:r>
            <w:r>
              <w:rPr>
                <w:rFonts w:ascii="Arial" w:eastAsia="Arial" w:hAnsi="Arial" w:cs="Arial"/>
                <w:i/>
                <w:sz w:val="24"/>
                <w:szCs w:val="24"/>
              </w:rPr>
              <w:lastRenderedPageBreak/>
              <w:t xml:space="preserve">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2B4B12" w:rsidRDefault="00214303">
            <w:pPr>
              <w:rPr>
                <w:rFonts w:ascii="Arial" w:eastAsia="Arial" w:hAnsi="Arial" w:cs="Arial"/>
                <w:i/>
                <w:sz w:val="24"/>
                <w:szCs w:val="24"/>
              </w:rPr>
            </w:pPr>
            <w:r>
              <w:rPr>
                <w:rFonts w:ascii="Arial" w:eastAsia="Arial" w:hAnsi="Arial" w:cs="Arial"/>
                <w:i/>
                <w:sz w:val="24"/>
                <w:szCs w:val="24"/>
              </w:rPr>
              <w:t xml:space="preserve"> </w:t>
            </w:r>
          </w:p>
          <w:p w:rsidR="002B4B12" w:rsidRDefault="00214303">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2B4B12" w:rsidRDefault="002B4B12">
            <w:pPr>
              <w:rPr>
                <w:rFonts w:ascii="Arial" w:eastAsia="Arial" w:hAnsi="Arial" w:cs="Arial"/>
                <w:sz w:val="24"/>
                <w:szCs w:val="24"/>
              </w:rPr>
            </w:pPr>
          </w:p>
        </w:tc>
      </w:tr>
      <w:tr w:rsidR="002B4B12">
        <w:trPr>
          <w:trHeight w:val="1460"/>
        </w:trPr>
        <w:tc>
          <w:tcPr>
            <w:tcW w:w="2263" w:type="dxa"/>
            <w:shd w:val="clear" w:color="auto" w:fill="auto"/>
          </w:tcPr>
          <w:p w:rsidR="002B4B12" w:rsidRDefault="00214303">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2B4B12" w:rsidRDefault="00214303">
            <w:pPr>
              <w:rPr>
                <w:rFonts w:ascii="Arial" w:eastAsia="Arial" w:hAnsi="Arial" w:cs="Arial"/>
                <w:i/>
                <w:sz w:val="24"/>
                <w:szCs w:val="24"/>
              </w:rPr>
            </w:pPr>
            <w:r>
              <w:rPr>
                <w:rFonts w:ascii="Arial" w:eastAsia="Arial" w:hAnsi="Arial" w:cs="Arial"/>
                <w:i/>
                <w:sz w:val="24"/>
                <w:szCs w:val="24"/>
              </w:rPr>
              <w:t xml:space="preserve">For CCS under the Framework Agreement: For up to 4 </w:t>
            </w:r>
            <w:proofErr w:type="gramStart"/>
            <w:r>
              <w:rPr>
                <w:rFonts w:ascii="Arial" w:eastAsia="Arial" w:hAnsi="Arial" w:cs="Arial"/>
                <w:i/>
                <w:sz w:val="24"/>
                <w:szCs w:val="24"/>
              </w:rPr>
              <w:t>years  corresponding</w:t>
            </w:r>
            <w:proofErr w:type="gramEnd"/>
            <w:r>
              <w:rPr>
                <w:rFonts w:ascii="Arial" w:eastAsia="Arial" w:hAnsi="Arial" w:cs="Arial"/>
                <w:i/>
                <w:sz w:val="24"/>
                <w:szCs w:val="24"/>
              </w:rPr>
              <w:t xml:space="preserve"> with a 3 year framework term and a 12 month extension.</w:t>
            </w:r>
          </w:p>
          <w:p w:rsidR="002B4B12" w:rsidRDefault="00214303">
            <w:pPr>
              <w:rPr>
                <w:rFonts w:ascii="Arial" w:eastAsia="Arial" w:hAnsi="Arial" w:cs="Arial"/>
                <w:i/>
                <w:sz w:val="24"/>
                <w:szCs w:val="24"/>
              </w:rPr>
            </w:pPr>
            <w:r>
              <w:rPr>
                <w:rFonts w:ascii="Arial" w:eastAsia="Arial" w:hAnsi="Arial" w:cs="Arial"/>
                <w:i/>
                <w:sz w:val="24"/>
                <w:szCs w:val="24"/>
              </w:rPr>
              <w:t>Then for 7 years post framework expiry as per regulatory retention requirements for commercial/financial data.</w:t>
            </w:r>
          </w:p>
          <w:p w:rsidR="002B4B12" w:rsidRDefault="002B4B12">
            <w:pPr>
              <w:rPr>
                <w:rFonts w:ascii="Arial" w:eastAsia="Arial" w:hAnsi="Arial" w:cs="Arial"/>
                <w:sz w:val="24"/>
                <w:szCs w:val="24"/>
              </w:rPr>
            </w:pPr>
          </w:p>
        </w:tc>
      </w:tr>
      <w:tr w:rsidR="002B4B12">
        <w:trPr>
          <w:trHeight w:val="1520"/>
        </w:trPr>
        <w:tc>
          <w:tcPr>
            <w:tcW w:w="2263" w:type="dxa"/>
            <w:shd w:val="clear" w:color="auto" w:fill="auto"/>
          </w:tcPr>
          <w:p w:rsidR="002B4B12" w:rsidRDefault="0021430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2B4B12" w:rsidRDefault="002B4B12">
            <w:pPr>
              <w:rPr>
                <w:rFonts w:ascii="Arial" w:eastAsia="Arial" w:hAnsi="Arial" w:cs="Arial"/>
                <w:i/>
                <w:sz w:val="24"/>
                <w:szCs w:val="24"/>
              </w:rPr>
            </w:pPr>
          </w:p>
          <w:p w:rsidR="002B4B12" w:rsidRDefault="002B4B12">
            <w:pPr>
              <w:rPr>
                <w:rFonts w:ascii="Arial" w:eastAsia="Arial" w:hAnsi="Arial" w:cs="Arial"/>
                <w:sz w:val="24"/>
                <w:szCs w:val="24"/>
              </w:rPr>
            </w:pPr>
          </w:p>
          <w:p w:rsidR="002B4B12" w:rsidRDefault="00214303">
            <w:pPr>
              <w:rPr>
                <w:rFonts w:ascii="Arial" w:eastAsia="Arial" w:hAnsi="Arial" w:cs="Arial"/>
                <w:i/>
                <w:sz w:val="24"/>
                <w:szCs w:val="24"/>
              </w:rPr>
            </w:pPr>
            <w:r>
              <w:rPr>
                <w:rFonts w:ascii="Arial" w:eastAsia="Arial" w:hAnsi="Arial" w:cs="Arial"/>
                <w:i/>
                <w:sz w:val="24"/>
                <w:szCs w:val="24"/>
              </w:rPr>
              <w:t xml:space="preserve">In respect of the Supplier Personal Data, CCS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rsidR="002B4B12" w:rsidRDefault="002B4B12">
            <w:pPr>
              <w:rPr>
                <w:rFonts w:ascii="Arial" w:eastAsia="Arial" w:hAnsi="Arial" w:cs="Arial"/>
                <w:i/>
                <w:sz w:val="24"/>
                <w:szCs w:val="24"/>
              </w:rPr>
            </w:pPr>
          </w:p>
          <w:p w:rsidR="002B4B12" w:rsidRDefault="00214303">
            <w:pPr>
              <w:rPr>
                <w:rFonts w:ascii="Arial" w:eastAsia="Arial" w:hAnsi="Arial" w:cs="Arial"/>
                <w:i/>
                <w:sz w:val="24"/>
                <w:szCs w:val="24"/>
              </w:rPr>
            </w:pPr>
            <w:r>
              <w:rPr>
                <w:rFonts w:ascii="Arial" w:eastAsia="Arial" w:hAnsi="Arial" w:cs="Arial"/>
                <w:i/>
                <w:sz w:val="24"/>
                <w:szCs w:val="24"/>
              </w:rPr>
              <w:t xml:space="preserve">This may include: </w:t>
            </w:r>
          </w:p>
          <w:p w:rsidR="002B4B12" w:rsidRDefault="00214303">
            <w:pPr>
              <w:numPr>
                <w:ilvl w:val="0"/>
                <w:numId w:val="9"/>
              </w:numPr>
              <w:rPr>
                <w:rFonts w:ascii="Arial" w:eastAsia="Arial" w:hAnsi="Arial" w:cs="Arial"/>
                <w:i/>
                <w:sz w:val="24"/>
                <w:szCs w:val="24"/>
              </w:rPr>
            </w:pPr>
            <w:r>
              <w:rPr>
                <w:rFonts w:ascii="Arial" w:eastAsia="Arial" w:hAnsi="Arial" w:cs="Arial"/>
                <w:i/>
                <w:sz w:val="24"/>
                <w:szCs w:val="24"/>
              </w:rPr>
              <w:t xml:space="preserve">inviting the Supplier Staff to contract management workshops and events; </w:t>
            </w:r>
          </w:p>
          <w:p w:rsidR="002B4B12" w:rsidRDefault="00214303">
            <w:pPr>
              <w:numPr>
                <w:ilvl w:val="0"/>
                <w:numId w:val="9"/>
              </w:numPr>
              <w:rPr>
                <w:rFonts w:ascii="Arial" w:eastAsia="Arial" w:hAnsi="Arial" w:cs="Arial"/>
                <w:i/>
                <w:sz w:val="24"/>
                <w:szCs w:val="24"/>
              </w:rPr>
            </w:pPr>
            <w:r>
              <w:rPr>
                <w:rFonts w:ascii="Arial" w:eastAsia="Arial" w:hAnsi="Arial" w:cs="Arial"/>
                <w:i/>
                <w:sz w:val="24"/>
                <w:szCs w:val="24"/>
              </w:rPr>
              <w:t xml:space="preserve">complying with requirements under the Contract to contact named individuals; </w:t>
            </w:r>
          </w:p>
          <w:p w:rsidR="002B4B12" w:rsidRDefault="00214303">
            <w:pPr>
              <w:numPr>
                <w:ilvl w:val="0"/>
                <w:numId w:val="9"/>
              </w:numPr>
              <w:rPr>
                <w:rFonts w:ascii="Arial" w:eastAsia="Arial" w:hAnsi="Arial" w:cs="Arial"/>
                <w:i/>
                <w:sz w:val="24"/>
                <w:szCs w:val="24"/>
              </w:rPr>
            </w:pPr>
            <w:r>
              <w:rPr>
                <w:rFonts w:ascii="Arial" w:eastAsia="Arial" w:hAnsi="Arial" w:cs="Arial"/>
                <w:i/>
                <w:sz w:val="24"/>
                <w:szCs w:val="24"/>
              </w:rPr>
              <w:t>establishing the Supplier’s compliance with the procurement process and the Contract; and</w:t>
            </w:r>
          </w:p>
          <w:p w:rsidR="002B4B12" w:rsidRDefault="00214303">
            <w:pPr>
              <w:numPr>
                <w:ilvl w:val="0"/>
                <w:numId w:val="9"/>
              </w:numPr>
              <w:rPr>
                <w:rFonts w:ascii="Arial" w:eastAsia="Arial" w:hAnsi="Arial" w:cs="Arial"/>
                <w:i/>
                <w:sz w:val="24"/>
                <w:szCs w:val="24"/>
              </w:rPr>
            </w:pPr>
            <w:r>
              <w:rPr>
                <w:rFonts w:ascii="Arial" w:eastAsia="Arial" w:hAnsi="Arial" w:cs="Arial"/>
                <w:i/>
                <w:sz w:val="24"/>
                <w:szCs w:val="24"/>
              </w:rPr>
              <w:t>including Personal Data within reports.</w:t>
            </w:r>
          </w:p>
          <w:p w:rsidR="002B4B12" w:rsidRDefault="00214303">
            <w:pPr>
              <w:numPr>
                <w:ilvl w:val="0"/>
                <w:numId w:val="9"/>
              </w:numPr>
              <w:rPr>
                <w:rFonts w:ascii="Arial" w:eastAsia="Arial" w:hAnsi="Arial" w:cs="Arial"/>
                <w:i/>
                <w:sz w:val="24"/>
                <w:szCs w:val="24"/>
              </w:rPr>
            </w:pPr>
            <w:r>
              <w:rPr>
                <w:rFonts w:ascii="Arial" w:eastAsia="Arial" w:hAnsi="Arial" w:cs="Arial"/>
                <w:i/>
                <w:sz w:val="24"/>
                <w:szCs w:val="24"/>
              </w:rPr>
              <w:t>including relevant customer data as part of the Contract administration</w:t>
            </w:r>
          </w:p>
          <w:p w:rsidR="002B4B12" w:rsidRDefault="002B4B12">
            <w:pPr>
              <w:rPr>
                <w:rFonts w:ascii="Arial" w:eastAsia="Arial" w:hAnsi="Arial" w:cs="Arial"/>
                <w:i/>
                <w:sz w:val="24"/>
                <w:szCs w:val="24"/>
              </w:rPr>
            </w:pPr>
          </w:p>
          <w:p w:rsidR="002B4B12" w:rsidRDefault="00214303">
            <w:pPr>
              <w:rPr>
                <w:rFonts w:ascii="Arial" w:eastAsia="Arial" w:hAnsi="Arial" w:cs="Arial"/>
                <w:i/>
                <w:sz w:val="24"/>
                <w:szCs w:val="24"/>
              </w:rPr>
            </w:pPr>
            <w:r>
              <w:rPr>
                <w:rFonts w:ascii="Arial" w:eastAsia="Arial" w:hAnsi="Arial" w:cs="Arial"/>
                <w:i/>
                <w:sz w:val="24"/>
                <w:szCs w:val="24"/>
              </w:rPr>
              <w:t xml:space="preserve">This may include: </w:t>
            </w:r>
          </w:p>
          <w:p w:rsidR="002B4B12" w:rsidRDefault="00214303">
            <w:pPr>
              <w:numPr>
                <w:ilvl w:val="0"/>
                <w:numId w:val="9"/>
              </w:numPr>
              <w:rPr>
                <w:rFonts w:ascii="Arial" w:eastAsia="Arial" w:hAnsi="Arial" w:cs="Arial"/>
                <w:i/>
                <w:sz w:val="24"/>
                <w:szCs w:val="24"/>
              </w:rPr>
            </w:pPr>
            <w:r>
              <w:rPr>
                <w:rFonts w:ascii="Arial" w:eastAsia="Arial" w:hAnsi="Arial" w:cs="Arial"/>
                <w:i/>
                <w:sz w:val="24"/>
                <w:szCs w:val="24"/>
              </w:rPr>
              <w:t>complying with requirements under the Contract to contact named individuals; and</w:t>
            </w:r>
          </w:p>
          <w:p w:rsidR="002B4B12" w:rsidRDefault="00214303">
            <w:pPr>
              <w:numPr>
                <w:ilvl w:val="0"/>
                <w:numId w:val="9"/>
              </w:numPr>
              <w:rPr>
                <w:rFonts w:ascii="Arial" w:eastAsia="Arial" w:hAnsi="Arial" w:cs="Arial"/>
                <w:i/>
                <w:sz w:val="24"/>
                <w:szCs w:val="24"/>
              </w:rPr>
            </w:pPr>
            <w:r>
              <w:rPr>
                <w:rFonts w:ascii="Arial" w:eastAsia="Arial" w:hAnsi="Arial" w:cs="Arial"/>
                <w:i/>
                <w:sz w:val="24"/>
                <w:szCs w:val="24"/>
              </w:rPr>
              <w:t>including Personal Data within reports.</w:t>
            </w:r>
          </w:p>
          <w:p w:rsidR="002B4B12" w:rsidRDefault="002B4B12">
            <w:pPr>
              <w:rPr>
                <w:rFonts w:ascii="Arial" w:eastAsia="Arial" w:hAnsi="Arial" w:cs="Arial"/>
                <w:sz w:val="24"/>
                <w:szCs w:val="24"/>
              </w:rPr>
            </w:pPr>
          </w:p>
        </w:tc>
      </w:tr>
      <w:tr w:rsidR="002B4B12">
        <w:trPr>
          <w:trHeight w:val="1400"/>
        </w:trPr>
        <w:tc>
          <w:tcPr>
            <w:tcW w:w="2263" w:type="dxa"/>
            <w:shd w:val="clear" w:color="auto" w:fill="auto"/>
          </w:tcPr>
          <w:p w:rsidR="002B4B12" w:rsidRDefault="00214303">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2B4B12" w:rsidRDefault="002B4B12">
            <w:pPr>
              <w:rPr>
                <w:rFonts w:ascii="Arial" w:eastAsia="Arial" w:hAnsi="Arial" w:cs="Arial"/>
                <w:i/>
                <w:sz w:val="24"/>
                <w:szCs w:val="24"/>
              </w:rPr>
            </w:pPr>
          </w:p>
          <w:p w:rsidR="002B4B12" w:rsidRDefault="002B4B12">
            <w:pPr>
              <w:rPr>
                <w:rFonts w:ascii="Arial" w:eastAsia="Arial" w:hAnsi="Arial" w:cs="Arial"/>
                <w:i/>
                <w:sz w:val="24"/>
                <w:szCs w:val="24"/>
              </w:rPr>
            </w:pPr>
          </w:p>
          <w:p w:rsidR="002B4B12" w:rsidRDefault="00214303">
            <w:pPr>
              <w:rPr>
                <w:rFonts w:ascii="Arial" w:eastAsia="Arial" w:hAnsi="Arial" w:cs="Arial"/>
                <w:i/>
                <w:sz w:val="24"/>
                <w:szCs w:val="24"/>
              </w:rPr>
            </w:pPr>
            <w:r>
              <w:rPr>
                <w:rFonts w:ascii="Arial" w:eastAsia="Arial" w:hAnsi="Arial" w:cs="Arial"/>
                <w:i/>
                <w:sz w:val="24"/>
                <w:szCs w:val="24"/>
              </w:rPr>
              <w:t xml:space="preserve">Individuals’ names, job titles, email addresses, organisational name, work phone numbers. To the extent relevant and supplied during the procurement process, details of any relevant convictions. </w:t>
            </w:r>
          </w:p>
          <w:p w:rsidR="002B4B12" w:rsidRDefault="002B4B12">
            <w:pPr>
              <w:rPr>
                <w:rFonts w:ascii="Arial" w:eastAsia="Arial" w:hAnsi="Arial" w:cs="Arial"/>
                <w:sz w:val="24"/>
                <w:szCs w:val="24"/>
              </w:rPr>
            </w:pPr>
          </w:p>
        </w:tc>
      </w:tr>
      <w:tr w:rsidR="002B4B12">
        <w:trPr>
          <w:trHeight w:val="1560"/>
        </w:trPr>
        <w:tc>
          <w:tcPr>
            <w:tcW w:w="2263" w:type="dxa"/>
            <w:shd w:val="clear" w:color="auto" w:fill="auto"/>
          </w:tcPr>
          <w:p w:rsidR="002B4B12" w:rsidRDefault="00214303">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2B4B12" w:rsidRDefault="002B4B12">
            <w:pPr>
              <w:rPr>
                <w:rFonts w:ascii="Arial" w:eastAsia="Arial" w:hAnsi="Arial" w:cs="Arial"/>
                <w:i/>
                <w:sz w:val="24"/>
                <w:szCs w:val="24"/>
              </w:rPr>
            </w:pPr>
          </w:p>
          <w:p w:rsidR="002B4B12" w:rsidRDefault="002B4B12">
            <w:pPr>
              <w:rPr>
                <w:rFonts w:ascii="Arial" w:eastAsia="Arial" w:hAnsi="Arial" w:cs="Arial"/>
                <w:sz w:val="24"/>
                <w:szCs w:val="24"/>
              </w:rPr>
            </w:pPr>
          </w:p>
          <w:p w:rsidR="002B4B12" w:rsidRDefault="00214303">
            <w:pPr>
              <w:rPr>
                <w:rFonts w:ascii="Arial" w:eastAsia="Arial" w:hAnsi="Arial" w:cs="Arial"/>
                <w:i/>
                <w:sz w:val="24"/>
                <w:szCs w:val="24"/>
              </w:rPr>
            </w:pPr>
            <w:r>
              <w:rPr>
                <w:rFonts w:ascii="Arial" w:eastAsia="Arial" w:hAnsi="Arial" w:cs="Arial"/>
                <w:i/>
                <w:sz w:val="24"/>
                <w:szCs w:val="24"/>
              </w:rPr>
              <w:t xml:space="preserve">Relevant Authority Staff, Customer and Supplier Staff. </w:t>
            </w:r>
          </w:p>
          <w:p w:rsidR="002B4B12" w:rsidRDefault="002B4B12">
            <w:pPr>
              <w:rPr>
                <w:rFonts w:ascii="Arial" w:eastAsia="Arial" w:hAnsi="Arial" w:cs="Arial"/>
                <w:sz w:val="24"/>
                <w:szCs w:val="24"/>
              </w:rPr>
            </w:pPr>
          </w:p>
        </w:tc>
      </w:tr>
      <w:tr w:rsidR="002B4B12">
        <w:trPr>
          <w:trHeight w:val="1560"/>
        </w:trPr>
        <w:tc>
          <w:tcPr>
            <w:tcW w:w="2263" w:type="dxa"/>
            <w:shd w:val="clear" w:color="auto" w:fill="auto"/>
          </w:tcPr>
          <w:p w:rsidR="002B4B12" w:rsidRDefault="00214303">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rsidR="002B4B12" w:rsidRDefault="00214303">
            <w:pPr>
              <w:rPr>
                <w:rFonts w:ascii="Arial" w:eastAsia="Arial" w:hAnsi="Arial" w:cs="Arial"/>
                <w:i/>
                <w:sz w:val="24"/>
                <w:szCs w:val="24"/>
              </w:rPr>
            </w:pPr>
            <w:r>
              <w:rPr>
                <w:rFonts w:ascii="Arial" w:eastAsia="Arial" w:hAnsi="Arial" w:cs="Arial"/>
                <w:i/>
                <w:sz w:val="24"/>
                <w:szCs w:val="24"/>
              </w:rPr>
              <w:t>[Explain where geographically personal data may be stored or accessed from. Explain the legal gateway you are relying on to export the data e.g. adequacy decision, EU SCCs, UK IDTA. Annex any SCCs or IDTA to this contract]</w:t>
            </w:r>
          </w:p>
        </w:tc>
      </w:tr>
      <w:tr w:rsidR="002B4B12">
        <w:trPr>
          <w:trHeight w:val="1660"/>
        </w:trPr>
        <w:tc>
          <w:tcPr>
            <w:tcW w:w="2263" w:type="dxa"/>
            <w:shd w:val="clear" w:color="auto" w:fill="auto"/>
          </w:tcPr>
          <w:p w:rsidR="002B4B12" w:rsidRDefault="0021430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2B4B12" w:rsidRDefault="00214303">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2B4B12" w:rsidRDefault="002B4B12">
            <w:pPr>
              <w:rPr>
                <w:rFonts w:ascii="Arial" w:eastAsia="Arial" w:hAnsi="Arial" w:cs="Arial"/>
                <w:i/>
                <w:sz w:val="24"/>
                <w:szCs w:val="24"/>
              </w:rPr>
            </w:pPr>
          </w:p>
          <w:p w:rsidR="002B4B12" w:rsidRDefault="002B4B12">
            <w:pPr>
              <w:rPr>
                <w:rFonts w:ascii="Arial" w:eastAsia="Arial" w:hAnsi="Arial" w:cs="Arial"/>
                <w:sz w:val="24"/>
                <w:szCs w:val="24"/>
              </w:rPr>
            </w:pPr>
          </w:p>
          <w:p w:rsidR="002B4B12" w:rsidRDefault="00214303">
            <w:pPr>
              <w:rPr>
                <w:rFonts w:ascii="Arial" w:eastAsia="Arial" w:hAnsi="Arial" w:cs="Arial"/>
                <w:b/>
                <w:sz w:val="24"/>
                <w:szCs w:val="24"/>
              </w:rPr>
            </w:pPr>
            <w:r>
              <w:rPr>
                <w:rFonts w:ascii="Arial" w:eastAsia="Arial" w:hAnsi="Arial" w:cs="Arial"/>
                <w:i/>
                <w:sz w:val="24"/>
                <w:szCs w:val="24"/>
              </w:rPr>
              <w:t>For the duration of the Contract and 7 years after.</w:t>
            </w:r>
          </w:p>
          <w:p w:rsidR="002B4B12" w:rsidRDefault="002B4B12">
            <w:pPr>
              <w:rPr>
                <w:rFonts w:ascii="Arial" w:eastAsia="Arial" w:hAnsi="Arial" w:cs="Arial"/>
                <w:sz w:val="24"/>
                <w:szCs w:val="24"/>
              </w:rPr>
            </w:pPr>
          </w:p>
        </w:tc>
      </w:tr>
    </w:tbl>
    <w:p w:rsidR="002B4B12" w:rsidRDefault="002B4B12">
      <w:pPr>
        <w:rPr>
          <w:rFonts w:ascii="Arial" w:eastAsia="Arial" w:hAnsi="Arial" w:cs="Arial"/>
          <w:b/>
          <w:sz w:val="24"/>
          <w:szCs w:val="24"/>
        </w:rPr>
      </w:pPr>
    </w:p>
    <w:p w:rsidR="002B4B12" w:rsidRDefault="00214303">
      <w:pPr>
        <w:rPr>
          <w:rFonts w:ascii="Arial" w:eastAsia="Arial" w:hAnsi="Arial" w:cs="Arial"/>
          <w:b/>
          <w:sz w:val="24"/>
          <w:szCs w:val="24"/>
        </w:rPr>
      </w:pPr>
      <w:r>
        <w:br w:type="page"/>
      </w:r>
    </w:p>
    <w:p w:rsidR="002B4B12" w:rsidRDefault="00214303">
      <w:pPr>
        <w:rPr>
          <w:rFonts w:ascii="Arial" w:eastAsia="Arial" w:hAnsi="Arial" w:cs="Arial"/>
          <w:sz w:val="24"/>
          <w:szCs w:val="24"/>
        </w:rPr>
      </w:pPr>
      <w:r>
        <w:rPr>
          <w:rFonts w:ascii="Arial" w:eastAsia="Arial" w:hAnsi="Arial" w:cs="Arial"/>
          <w:b/>
          <w:sz w:val="24"/>
          <w:szCs w:val="24"/>
        </w:rPr>
        <w:lastRenderedPageBreak/>
        <w:t>Annex 2 - Joint Controller Agreement</w:t>
      </w:r>
    </w:p>
    <w:p w:rsidR="002B4B12" w:rsidRDefault="00214303">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2B4B12" w:rsidRDefault="00214303">
      <w:pPr>
        <w:keepNext/>
        <w:rPr>
          <w:rFonts w:ascii="Arial" w:eastAsia="Arial" w:hAnsi="Arial" w:cs="Arial"/>
          <w:sz w:val="24"/>
          <w:szCs w:val="24"/>
        </w:rPr>
      </w:pPr>
      <w:bookmarkStart w:id="17" w:name="_heading=h.gjdgxs" w:colFirst="0" w:colLast="0"/>
      <w:bookmarkEnd w:id="17"/>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2B4B12" w:rsidRDefault="00214303">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using all reasonable </w:t>
      </w:r>
      <w:proofErr w:type="gramStart"/>
      <w:r>
        <w:rPr>
          <w:rFonts w:ascii="Arial" w:eastAsia="Arial" w:hAnsi="Arial" w:cs="Arial"/>
          <w:sz w:val="24"/>
          <w:szCs w:val="24"/>
          <w:highlight w:val="white"/>
        </w:rPr>
        <w:t>endeavours  to</w:t>
      </w:r>
      <w:proofErr w:type="gramEnd"/>
      <w:r>
        <w:rPr>
          <w:rFonts w:ascii="Arial" w:eastAsia="Arial" w:hAnsi="Arial" w:cs="Arial"/>
          <w:sz w:val="24"/>
          <w:szCs w:val="24"/>
          <w:highlight w:val="white"/>
        </w:rPr>
        <w:t xml:space="preserve"> comply with the UK GDPR regarding the exercise by Data Subjects of their rights under the UK GDPR;</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2B4B12" w:rsidRDefault="00214303">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rsidR="002B4B12" w:rsidRDefault="00214303">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2B4B12" w:rsidRDefault="00214303">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2B4B12" w:rsidRDefault="00214303">
      <w:pPr>
        <w:numPr>
          <w:ilvl w:val="2"/>
          <w:numId w:val="4"/>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w:t>
      </w:r>
      <w:r w:rsidR="003C4FCF">
        <w:rPr>
          <w:rFonts w:ascii="Arial" w:eastAsia="Arial" w:hAnsi="Arial" w:cs="Arial"/>
          <w:sz w:val="24"/>
          <w:szCs w:val="24"/>
        </w:rPr>
        <w:t>Annex 1 of this Joint Schedule 11 (Processing Personal Data)</w:t>
      </w:r>
      <w:r>
        <w:rPr>
          <w:rFonts w:ascii="Arial" w:eastAsia="Arial" w:hAnsi="Arial" w:cs="Arial"/>
          <w:sz w:val="24"/>
          <w:szCs w:val="24"/>
        </w:rPr>
        <w:t>;</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use all reasonable </w:t>
      </w:r>
      <w:proofErr w:type="gramStart"/>
      <w:r>
        <w:rPr>
          <w:rFonts w:ascii="Arial" w:eastAsia="Arial" w:hAnsi="Arial" w:cs="Arial"/>
          <w:sz w:val="24"/>
          <w:szCs w:val="24"/>
        </w:rPr>
        <w:t>endeavours  to</w:t>
      </w:r>
      <w:proofErr w:type="gramEnd"/>
      <w:r>
        <w:rPr>
          <w:rFonts w:ascii="Arial" w:eastAsia="Arial" w:hAnsi="Arial" w:cs="Arial"/>
          <w:sz w:val="24"/>
          <w:szCs w:val="24"/>
        </w:rPr>
        <w:t xml:space="preserve"> ensure the reliability and integrity of any of its Personnel who have access to the Personal Data and ensure that its Personnel:</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UK GDPR, not transfer such Personal Data outside of the UK unless the prior written consent of the non-transferring Party has been obtained and the following conditions are fulfilled:</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destination country has been recognised as adequate by the UK government in accordance with Article 45 of the UK GDPR or DPA 2018 Section 74; or</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xml:space="preserve">”), or International Data Transfer Agreement Addendum to the </w:t>
      </w:r>
      <w:r>
        <w:rPr>
          <w:rFonts w:ascii="Arial" w:eastAsia="Arial" w:hAnsi="Arial" w:cs="Arial"/>
          <w:sz w:val="24"/>
          <w:szCs w:val="24"/>
        </w:rPr>
        <w:lastRenderedPageBreak/>
        <w:t xml:space="preserve">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as well as any additional measures;</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 and</w:t>
      </w:r>
    </w:p>
    <w:p w:rsidR="002B4B12" w:rsidRDefault="00214303">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EU GDPR, not transfer such Personal Data outside of the EU unless the prior written consent of the non-transferring Party has been obtained and the following conditions are fulfilled:</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2B4B12" w:rsidRDefault="00214303">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Personal Data; and</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w:t>
      </w:r>
      <w:r>
        <w:rPr>
          <w:rFonts w:ascii="Arial" w:eastAsia="Arial" w:hAnsi="Arial" w:cs="Arial"/>
          <w:color w:val="000000"/>
          <w:sz w:val="24"/>
          <w:szCs w:val="24"/>
        </w:rPr>
        <w:lastRenderedPageBreak/>
        <w:t>reasonably to have been aware, that the same would be a breach of such obligations.</w:t>
      </w: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2B4B12" w:rsidRDefault="0021430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2B4B12" w:rsidRDefault="00214303">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2B4B12" w:rsidRDefault="00214303">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2B4B12" w:rsidRDefault="00214303">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w:t>
      </w:r>
      <w:proofErr w:type="gramStart"/>
      <w:r>
        <w:rPr>
          <w:rFonts w:ascii="Arial" w:eastAsia="Arial" w:hAnsi="Arial" w:cs="Arial"/>
          <w:sz w:val="24"/>
          <w:szCs w:val="24"/>
        </w:rPr>
        <w:t>including  using</w:t>
      </w:r>
      <w:proofErr w:type="gramEnd"/>
      <w:r>
        <w:rPr>
          <w:rFonts w:ascii="Arial" w:eastAsia="Arial" w:hAnsi="Arial" w:cs="Arial"/>
          <w:sz w:val="24"/>
          <w:szCs w:val="24"/>
        </w:rPr>
        <w:t xml:space="preserve"> such reasonable endeavours  as are directed by the other Party to assist in the investigation, mitigation and remediation of a Personal Data Breach;</w:t>
      </w:r>
    </w:p>
    <w:p w:rsidR="002B4B12" w:rsidRDefault="00214303">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2B4B12" w:rsidRDefault="00214303">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2B4B12" w:rsidRDefault="0021430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2B4B12" w:rsidRDefault="0021430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2B4B12" w:rsidRDefault="0021430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2B4B12" w:rsidRDefault="0021430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name and contact details of the Supplier’s Data Protection Officer or other relevant contact from whom more information may be obtained;</w:t>
      </w:r>
    </w:p>
    <w:p w:rsidR="002B4B12" w:rsidRDefault="0021430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2B4B12" w:rsidRDefault="00214303">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2B4B12" w:rsidRDefault="0021430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2B4B12" w:rsidRDefault="00214303">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2B4B12" w:rsidRDefault="002B4B12">
      <w:pPr>
        <w:pBdr>
          <w:top w:val="nil"/>
          <w:left w:val="nil"/>
          <w:bottom w:val="nil"/>
          <w:right w:val="nil"/>
          <w:between w:val="nil"/>
        </w:pBdr>
        <w:spacing w:before="280" w:after="120" w:line="240" w:lineRule="auto"/>
        <w:jc w:val="both"/>
        <w:rPr>
          <w:rFonts w:ascii="Arial" w:eastAsia="Arial" w:hAnsi="Arial" w:cs="Arial"/>
          <w:sz w:val="24"/>
          <w:szCs w:val="24"/>
        </w:rPr>
      </w:pP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2B4B12" w:rsidRDefault="00214303">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2B4B12" w:rsidRDefault="002B4B12">
      <w:pPr>
        <w:pBdr>
          <w:top w:val="nil"/>
          <w:left w:val="nil"/>
          <w:bottom w:val="nil"/>
          <w:right w:val="nil"/>
          <w:between w:val="nil"/>
        </w:pBdr>
        <w:spacing w:after="80"/>
        <w:ind w:left="11"/>
        <w:rPr>
          <w:rFonts w:ascii="Arial" w:eastAsia="Arial" w:hAnsi="Arial" w:cs="Arial"/>
          <w:sz w:val="24"/>
          <w:szCs w:val="24"/>
        </w:rPr>
      </w:pPr>
    </w:p>
    <w:p w:rsidR="002B4B12" w:rsidRDefault="00214303">
      <w:pPr>
        <w:numPr>
          <w:ilvl w:val="2"/>
          <w:numId w:val="10"/>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2B4B12" w:rsidRDefault="002B4B12">
      <w:pPr>
        <w:keepNext/>
        <w:rPr>
          <w:rFonts w:ascii="Arial" w:eastAsia="Arial" w:hAnsi="Arial" w:cs="Arial"/>
          <w:sz w:val="24"/>
          <w:szCs w:val="24"/>
        </w:rPr>
      </w:pP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2B4B12" w:rsidRDefault="00214303">
      <w:pPr>
        <w:ind w:left="720"/>
        <w:rPr>
          <w:rFonts w:ascii="Arial" w:eastAsia="Arial" w:hAnsi="Arial" w:cs="Arial"/>
          <w:sz w:val="24"/>
          <w:szCs w:val="24"/>
        </w:rPr>
      </w:pPr>
      <w:r>
        <w:rPr>
          <w:rFonts w:ascii="Arial" w:eastAsia="Arial" w:hAnsi="Arial" w:cs="Arial"/>
          <w:sz w:val="24"/>
          <w:szCs w:val="24"/>
        </w:rPr>
        <w:t xml:space="preserve">The Parties agree to take account of any non-mandatory guidance issued by the Information Commissioner, any relevant Central Government Body and/or </w:t>
      </w:r>
      <w:r>
        <w:rPr>
          <w:rFonts w:ascii="Arial" w:eastAsia="Arial" w:hAnsi="Arial" w:cs="Arial"/>
          <w:sz w:val="24"/>
          <w:szCs w:val="24"/>
        </w:rPr>
        <w:lastRenderedPageBreak/>
        <w:t>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2B4B12" w:rsidRDefault="00214303">
      <w:pPr>
        <w:ind w:left="720"/>
        <w:rPr>
          <w:rFonts w:ascii="Arial" w:eastAsia="Arial" w:hAnsi="Arial" w:cs="Arial"/>
          <w:b/>
          <w:sz w:val="24"/>
          <w:szCs w:val="24"/>
        </w:rPr>
      </w:pPr>
      <w:r>
        <w:rPr>
          <w:rFonts w:ascii="Arial" w:eastAsia="Arial" w:hAnsi="Arial" w:cs="Arial"/>
          <w:b/>
          <w:sz w:val="24"/>
          <w:szCs w:val="24"/>
          <w:highlight w:val="yellow"/>
        </w:rPr>
        <w:t xml:space="preserve">[Guidance: </w:t>
      </w:r>
      <w:r>
        <w:rPr>
          <w:rFonts w:ascii="Arial" w:eastAsia="Arial" w:hAnsi="Arial" w:cs="Arial"/>
          <w:sz w:val="24"/>
          <w:szCs w:val="24"/>
          <w:highlight w:val="yellow"/>
        </w:rPr>
        <w:t xml:space="preserve">This clause represents a risk share, you may wish to reconsider the apportionment of liability and whether recoverability of losses </w:t>
      </w:r>
      <w:proofErr w:type="gramStart"/>
      <w:r>
        <w:rPr>
          <w:rFonts w:ascii="Arial" w:eastAsia="Arial" w:hAnsi="Arial" w:cs="Arial"/>
          <w:sz w:val="24"/>
          <w:szCs w:val="24"/>
          <w:highlight w:val="yellow"/>
        </w:rPr>
        <w:t>are</w:t>
      </w:r>
      <w:proofErr w:type="gramEnd"/>
      <w:r>
        <w:rPr>
          <w:rFonts w:ascii="Arial" w:eastAsia="Arial" w:hAnsi="Arial" w:cs="Arial"/>
          <w:sz w:val="24"/>
          <w:szCs w:val="24"/>
          <w:highlight w:val="yellow"/>
        </w:rPr>
        <w:t xml:space="preserve"> likely to be hindered by the contractual limitation of liability provisions]</w:t>
      </w:r>
      <w:r>
        <w:rPr>
          <w:rFonts w:ascii="Arial" w:eastAsia="Arial" w:hAnsi="Arial" w:cs="Arial"/>
          <w:sz w:val="24"/>
          <w:szCs w:val="24"/>
        </w:rPr>
        <w:t xml:space="preserve"> </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2B4B12" w:rsidRDefault="0021430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2B4B12" w:rsidRDefault="0021430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2B4B12" w:rsidRDefault="0021430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Pr>
          <w:rFonts w:ascii="Arial" w:eastAsia="Arial" w:hAnsi="Arial" w:cs="Arial"/>
          <w:color w:val="000000"/>
          <w:sz w:val="24"/>
          <w:szCs w:val="24"/>
        </w:rPr>
        <w:lastRenderedPageBreak/>
        <w:t xml:space="preserve">Personal Data Breach. Where both Parties are liable, the liability will be apportioned between the Parties in accordance with the decision of the Court.  </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2B4B12" w:rsidRDefault="0021430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2B4B12" w:rsidRDefault="0021430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2B4B12" w:rsidRDefault="00214303">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2B4B12" w:rsidRDefault="002B4B12">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2B4B12" w:rsidRDefault="00214303">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2B4B12" w:rsidRDefault="00214303">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2B4B12" w:rsidRDefault="00214303">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2B4B12" w:rsidRDefault="00214303">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2B4B12" w:rsidRDefault="002B4B12">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2B4B12" w:rsidRDefault="00214303">
      <w:pPr>
        <w:numPr>
          <w:ilvl w:val="2"/>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2B4B12" w:rsidRDefault="00214303">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w:t>
      </w:r>
      <w:r>
        <w:rPr>
          <w:rFonts w:ascii="Arial" w:eastAsia="Arial" w:hAnsi="Arial" w:cs="Arial"/>
          <w:color w:val="000000"/>
          <w:sz w:val="24"/>
          <w:szCs w:val="24"/>
        </w:rPr>
        <w:lastRenderedPageBreak/>
        <w:t xml:space="preserve">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rsidR="002B4B12" w:rsidRDefault="002B4B12">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2B4B12" w:rsidRDefault="002B4B12">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8" w:name="bookmark=id.1ksv4uv" w:colFirst="0" w:colLast="0"/>
      <w:bookmarkStart w:id="19" w:name="_heading=h.44sinio" w:colFirst="0" w:colLast="0"/>
      <w:bookmarkEnd w:id="18"/>
      <w:bookmarkEnd w:id="19"/>
    </w:p>
    <w:sectPr w:rsidR="002B4B1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0CD" w:rsidRDefault="009630CD">
      <w:pPr>
        <w:spacing w:after="0" w:line="240" w:lineRule="auto"/>
      </w:pPr>
      <w:r>
        <w:separator/>
      </w:r>
    </w:p>
  </w:endnote>
  <w:endnote w:type="continuationSeparator" w:id="0">
    <w:p w:rsidR="009630CD" w:rsidRDefault="00963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B12" w:rsidRDefault="0021430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RM6345</w:t>
    </w:r>
    <w:r>
      <w:rPr>
        <w:rFonts w:ascii="Arial" w:eastAsia="Arial" w:hAnsi="Arial" w:cs="Arial"/>
        <w:sz w:val="20"/>
        <w:szCs w:val="20"/>
      </w:rPr>
      <w:tab/>
      <w:t xml:space="preserve">                                           </w:t>
    </w:r>
  </w:p>
  <w:p w:rsidR="002B4B12" w:rsidRDefault="0021430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D21C0D">
      <w:rPr>
        <w:rFonts w:ascii="Arial" w:eastAsia="Arial" w:hAnsi="Arial" w:cs="Arial"/>
        <w:color w:val="000000"/>
        <w:sz w:val="20"/>
        <w:szCs w:val="20"/>
      </w:rPr>
      <w:t>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07FC2">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2B4B12" w:rsidRDefault="00214303">
    <w:pPr>
      <w:spacing w:after="0"/>
    </w:pPr>
    <w:r>
      <w:rPr>
        <w:rFonts w:ascii="Arial" w:eastAsia="Arial" w:hAnsi="Arial" w:cs="Arial"/>
        <w:sz w:val="20"/>
        <w:szCs w:val="20"/>
      </w:rPr>
      <w:t>Model Version: v4.7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B12" w:rsidRDefault="0021430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2B4B12" w:rsidRDefault="0021430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2B4B12" w:rsidRDefault="00214303">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0CD" w:rsidRDefault="009630CD">
      <w:pPr>
        <w:spacing w:after="0" w:line="240" w:lineRule="auto"/>
      </w:pPr>
      <w:r>
        <w:separator/>
      </w:r>
    </w:p>
  </w:footnote>
  <w:footnote w:type="continuationSeparator" w:id="0">
    <w:p w:rsidR="009630CD" w:rsidRDefault="00963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B12" w:rsidRDefault="0021430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2B4B12" w:rsidRDefault="0021430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B12" w:rsidRDefault="00214303">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722B1"/>
    <w:multiLevelType w:val="multilevel"/>
    <w:tmpl w:val="55A874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F287B99"/>
    <w:multiLevelType w:val="multilevel"/>
    <w:tmpl w:val="03D67B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F593789"/>
    <w:multiLevelType w:val="multilevel"/>
    <w:tmpl w:val="88E8D2D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33F33E2"/>
    <w:multiLevelType w:val="multilevel"/>
    <w:tmpl w:val="66F4355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C626A1"/>
    <w:multiLevelType w:val="multilevel"/>
    <w:tmpl w:val="3A9E2C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3072F0C"/>
    <w:multiLevelType w:val="multilevel"/>
    <w:tmpl w:val="4BFEB7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61675A2"/>
    <w:multiLevelType w:val="multilevel"/>
    <w:tmpl w:val="42460A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76B20F7"/>
    <w:multiLevelType w:val="multilevel"/>
    <w:tmpl w:val="AB5C603C"/>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9BC7D04"/>
    <w:multiLevelType w:val="multilevel"/>
    <w:tmpl w:val="B2669C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CB57818"/>
    <w:multiLevelType w:val="multilevel"/>
    <w:tmpl w:val="05D042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BAD3FBA"/>
    <w:multiLevelType w:val="multilevel"/>
    <w:tmpl w:val="15829D7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6C540B0"/>
    <w:multiLevelType w:val="multilevel"/>
    <w:tmpl w:val="BC9A028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EEA2B55"/>
    <w:multiLevelType w:val="multilevel"/>
    <w:tmpl w:val="4B0EEC06"/>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2"/>
  </w:num>
  <w:num w:numId="3">
    <w:abstractNumId w:val="0"/>
  </w:num>
  <w:num w:numId="4">
    <w:abstractNumId w:val="1"/>
  </w:num>
  <w:num w:numId="5">
    <w:abstractNumId w:val="6"/>
  </w:num>
  <w:num w:numId="6">
    <w:abstractNumId w:val="4"/>
  </w:num>
  <w:num w:numId="7">
    <w:abstractNumId w:val="5"/>
  </w:num>
  <w:num w:numId="8">
    <w:abstractNumId w:val="8"/>
  </w:num>
  <w:num w:numId="9">
    <w:abstractNumId w:val="12"/>
  </w:num>
  <w:num w:numId="10">
    <w:abstractNumId w:val="3"/>
  </w:num>
  <w:num w:numId="11">
    <w:abstractNumId w:val="10"/>
  </w:num>
  <w:num w:numId="12">
    <w:abstractNumId w:val="9"/>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B12"/>
    <w:rsid w:val="001C6659"/>
    <w:rsid w:val="00214303"/>
    <w:rsid w:val="002B4B12"/>
    <w:rsid w:val="002E0163"/>
    <w:rsid w:val="003C4FCF"/>
    <w:rsid w:val="009630CD"/>
    <w:rsid w:val="00C52F5B"/>
    <w:rsid w:val="00D21C0D"/>
    <w:rsid w:val="00DC272A"/>
    <w:rsid w:val="00E07F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1DC8B"/>
  <w15:docId w15:val="{826879A4-3216-420A-8CB5-5E8CBD5F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rFonts w:ascii="Arial" w:hAnsi="Arial" w:cs="Arial"/>
      <w:color w:val="000000"/>
      <w:sz w:val="24"/>
      <w:szCs w:val="24"/>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o7X3/gin1GERFHT+MW4ddcgWjg==">CgMxLjAyCWguMzBqMHpsbDIJaWQuZ2pkZ3hzMgppZC4zMGowemxsMgppZC4xZm9iOXRlMgppZC4zem55c2g3MgppZC4yZXQ5MnAwMglpZC50eWpjd3QyCmlkLjNkeTZ2a20yCmlkLjF0M2g1c2YyCmlkLjRkMzRvZzgyCmlkLjJzOGV5bzEyCmlkLjE3ZHA4dnUyCmlkLjNyZGNyam4yCWguMjZpbjFyZzIJaWQubG54Yno5MgppZC4zNW5rdW4yMghoLmdqZGd4czIKaWQuMWtzdjR1djIJaC40NHNpbmlvOABqRwo1c3VnZ2VzdElkSW1wb3J0OTg5OTkxODAtMzdlZi00NjMyLTlkNWEtMjA0MThkNDE5NDBmXzESDkJhbGppbmRlciBTYWxsakgKNnN1Z2dlc3RJZEltcG9ydDk4OTk5MTgwLTM3ZWYtNDYzMi05ZDVhLTIwNDE4ZDQxOTQwZl83NBIOQmFsamluZGVyIFNhbGxqSAo2c3VnZ2VzdElkSW1wb3J0OTg5OTkxODAtMzdlZi00NjMyLTlkNWEtMjA0MThkNDE5NDBmXzIxEg5CYWxqaW5kZXIgU2FsbGpICjZzdWdnZXN0SWRJbXBvcnQ5ODk5OTE4MC0zN2VmLTQ2MzItOWQ1YS0yMDQxOGQ0MTk0MGZfMTQSDkJhbGppbmRlciBTYWxsakgKNnN1Z2dlc3RJZEltcG9ydDk4OTk5MTgwLTM3ZWYtNDYzMi05ZDVhLTIwNDE4ZDQxOTQwZl83MRIOQmFsamluZGVyIFNhbGxqSAo2c3VnZ2VzdElkSW1wb3J0OTg5OTkxODAtMzdlZi00NjMyLTlkNWEtMjA0MThkNDE5NDBmXzYxEg5CYWxqaW5kZXIgU2FsbGpICjZzdWdnZXN0SWRJbXBvcnQ5ODk5OTE4MC0zN2VmLTQ2MzItOWQ1YS0yMDQxOGQ0MTk0MGZfNjYSDkJhbGppbmRlciBTYWxsakcKNXN1Z2dlc3RJZEltcG9ydDk4OTk5MTgwLTM3ZWYtNDYzMi05ZDVhLTIwNDE4ZDQxOTQwZl83Eg5CYWxqaW5kZXIgU2FsbGpHCjVzdWdnZXN0SWRJbXBvcnQ5ODk5OTE4MC0zN2VmLTQ2MzItOWQ1YS0yMDQxOGQ0MTk0MGZfNBIOQmFsamluZGVyIFNhbGxqSAo2c3VnZ2VzdElkSW1wb3J0OTg5OTkxODAtMzdlZi00NjMyLTlkNWEtMjA0MThkNDE5NDBmXzE5Eg5CYWxqaW5kZXIgU2FsbGpICjZzdWdnZXN0SWRJbXBvcnQ5ODk5OTE4MC0zN2VmLTQ2MzItOWQ1YS0yMDQxOGQ0MTk0MGZfMTISDkJhbGppbmRlciBTYWxsakcKNXN1Z2dlc3RJZEltcG9ydDk4OTk5MTgwLTM3ZWYtNDYzMi05ZDVhLTIwNDE4ZDQxOTQwZl84Eg5CYWxqaW5kZXIgU2FsbGpICjZzdWdnZXN0SWRJbXBvcnQ5ODk5OTE4MC0zN2VmLTQ2MzItOWQ1YS0yMDQxOGQ0MTk0MGZfMTYSDkJhbGppbmRlciBTYWxsakgKNnN1Z2dlc3RJZEltcG9ydDk4OTk5MTgwLTM3ZWYtNDYzMi05ZDVhLTIwNDE4ZDQxOTQwZl8zMRIOQmFsamluZGVyIFNhbGxqSAo2c3VnZ2VzdElkSW1wb3J0OTg5OTkxODAtMzdlZi00NjMyLTlkNWEtMjA0MThkNDE5NDBmXzE1Eg5CYWxqaW5kZXIgU2FsbHIhMWpRYy1ER0JoT04zam56dDlMR2VCbUZ4UkhCVmttSEx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6220</Words>
  <Characters>35455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Lianne Garvey</dc:creator>
  <cp:lastModifiedBy>leah morrow</cp:lastModifiedBy>
  <cp:revision>4</cp:revision>
  <dcterms:created xsi:type="dcterms:W3CDTF">2024-05-17T10:20:00Z</dcterms:created>
  <dcterms:modified xsi:type="dcterms:W3CDTF">2025-01-08T17:01:00Z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